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A1D" w:rsidRPr="005D024D" w:rsidRDefault="005D024D" w:rsidP="005D024D">
      <w:pPr>
        <w:pBdr>
          <w:bottom w:val="single" w:sz="4" w:space="1" w:color="auto"/>
        </w:pBdr>
        <w:rPr>
          <w:b/>
          <w:bCs/>
          <w:lang w:val="en-US"/>
        </w:rPr>
      </w:pPr>
      <w:r w:rsidRPr="005D024D">
        <w:rPr>
          <w:b/>
          <w:bCs/>
          <w:lang w:val="en-US"/>
        </w:rPr>
        <w:t>ANNEX – Specific recommendations for vulnerable groups</w:t>
      </w:r>
    </w:p>
    <w:p w:rsidR="005D024D" w:rsidRPr="005D024D" w:rsidRDefault="005D024D">
      <w:pPr>
        <w:rPr>
          <w:lang w:val="en-US"/>
        </w:rPr>
      </w:pPr>
    </w:p>
    <w:p w:rsidR="005D024D" w:rsidRPr="00836D34" w:rsidRDefault="005D024D" w:rsidP="005D024D">
      <w:pPr>
        <w:pStyle w:val="CorpsAA"/>
        <w:rPr>
          <w:rFonts w:ascii="Arial" w:eastAsia="Calibri" w:hAnsi="Arial" w:cs="Arial"/>
          <w:color w:val="0070C0"/>
          <w:sz w:val="22"/>
          <w:szCs w:val="22"/>
          <w:u w:color="1F4E79"/>
          <w:lang w:val="en-GB"/>
        </w:rPr>
      </w:pPr>
      <w:r w:rsidRPr="00DC5508">
        <w:rPr>
          <w:rFonts w:ascii="Arial" w:eastAsia="Calibri" w:hAnsi="Arial" w:cs="Arial"/>
          <w:b/>
          <w:bCs/>
          <w:color w:val="0070C0"/>
          <w:sz w:val="22"/>
          <w:szCs w:val="22"/>
          <w:u w:color="1F4E79"/>
          <w:lang w:val="en-GB"/>
        </w:rPr>
        <w:t>Single mothers and women at risk</w:t>
      </w:r>
    </w:p>
    <w:tbl>
      <w:tblPr>
        <w:tblStyle w:val="Tablaconcuadrcula"/>
        <w:tblW w:w="878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799"/>
        <w:gridCol w:w="992"/>
        <w:gridCol w:w="992"/>
      </w:tblGrid>
      <w:tr w:rsidR="005D024D" w:rsidRPr="004F16DA" w:rsidTr="00B77391">
        <w:tc>
          <w:tcPr>
            <w:tcW w:w="6799"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Recommendation</w:t>
            </w:r>
          </w:p>
        </w:tc>
        <w:tc>
          <w:tcPr>
            <w:tcW w:w="992"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Level</w:t>
            </w:r>
          </w:p>
        </w:tc>
        <w:tc>
          <w:tcPr>
            <w:tcW w:w="992"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Priority</w:t>
            </w:r>
          </w:p>
        </w:tc>
      </w:tr>
      <w:tr w:rsidR="005D024D" w:rsidRPr="004F16DA" w:rsidTr="00242292">
        <w:trPr>
          <w:trHeight w:val="1550"/>
        </w:trPr>
        <w:tc>
          <w:tcPr>
            <w:tcW w:w="6799" w:type="dxa"/>
          </w:tcPr>
          <w:p w:rsidR="005D024D" w:rsidRPr="004F16DA" w:rsidRDefault="005D024D" w:rsidP="005D024D">
            <w:pPr>
              <w:pStyle w:val="CorpsA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13" w:hanging="284"/>
              <w:jc w:val="both"/>
              <w:rPr>
                <w:rFonts w:ascii="Arial" w:eastAsia="Calibri" w:hAnsi="Arial" w:cs="Arial"/>
                <w:color w:val="auto"/>
                <w:sz w:val="20"/>
                <w:szCs w:val="20"/>
                <w:lang w:val="en-GB" w:eastAsia="fr-FR"/>
              </w:rPr>
            </w:pPr>
            <w:r w:rsidRPr="004F16DA">
              <w:rPr>
                <w:rFonts w:ascii="Arial" w:eastAsia="Calibri" w:hAnsi="Arial" w:cs="Arial"/>
                <w:sz w:val="20"/>
                <w:szCs w:val="20"/>
                <w:u w:color="4472C4"/>
                <w:lang w:val="en-GB"/>
              </w:rPr>
              <w:t xml:space="preserve">Explore </w:t>
            </w:r>
            <w:r w:rsidRPr="004F16DA">
              <w:rPr>
                <w:rFonts w:ascii="Arial" w:eastAsia="Calibri" w:hAnsi="Arial" w:cs="Arial"/>
                <w:b/>
                <w:sz w:val="20"/>
                <w:szCs w:val="20"/>
                <w:u w:color="4472C4"/>
                <w:lang w:val="en-GB"/>
              </w:rPr>
              <w:t>alliances with national organizations working with single mothers</w:t>
            </w:r>
            <w:r w:rsidRPr="004F16DA">
              <w:rPr>
                <w:rFonts w:ascii="Arial" w:eastAsia="Calibri" w:hAnsi="Arial" w:cs="Arial"/>
                <w:sz w:val="20"/>
                <w:szCs w:val="20"/>
                <w:u w:color="4472C4"/>
                <w:lang w:val="en-GB"/>
              </w:rPr>
              <w:t xml:space="preserve">, most of which have protection facilities covering the period of pregnancy and post-pregnancy (generally four months of pregnancy and two or three months of accommodation after birth), plus medical care, training in basic vocational and soft skills, and social and professional support. </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Op</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2</w:t>
            </w:r>
          </w:p>
        </w:tc>
      </w:tr>
      <w:tr w:rsidR="005D024D" w:rsidRPr="004F16DA" w:rsidTr="00242292">
        <w:trPr>
          <w:trHeight w:val="1995"/>
        </w:trPr>
        <w:tc>
          <w:tcPr>
            <w:tcW w:w="6799" w:type="dxa"/>
          </w:tcPr>
          <w:p w:rsidR="005D024D" w:rsidRPr="004F16DA" w:rsidRDefault="005D024D" w:rsidP="005D024D">
            <w:pPr>
              <w:pStyle w:val="CorpsA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13" w:hanging="284"/>
              <w:jc w:val="both"/>
              <w:rPr>
                <w:rFonts w:ascii="Arial" w:eastAsia="Calibri" w:hAnsi="Arial" w:cs="Arial"/>
                <w:sz w:val="20"/>
                <w:szCs w:val="20"/>
                <w:lang w:val="en-GB"/>
              </w:rPr>
            </w:pPr>
            <w:r w:rsidRPr="004F16DA">
              <w:rPr>
                <w:rFonts w:ascii="Arial" w:eastAsia="Calibri" w:hAnsi="Arial" w:cs="Arial"/>
                <w:sz w:val="20"/>
                <w:szCs w:val="20"/>
                <w:lang w:val="en-GB"/>
              </w:rPr>
              <w:t xml:space="preserve">While keeping the “do no harm” principle as a key consideration, </w:t>
            </w:r>
            <w:r w:rsidRPr="004F16DA">
              <w:rPr>
                <w:rFonts w:ascii="Arial" w:eastAsia="Calibri" w:hAnsi="Arial" w:cs="Arial"/>
                <w:b/>
                <w:sz w:val="20"/>
                <w:szCs w:val="20"/>
                <w:lang w:val="en-GB"/>
              </w:rPr>
              <w:t xml:space="preserve">review the financial assistance strategy and criteria for vulnerable women in order to allow them to live in dignity and to reduce risky behaviours </w:t>
            </w:r>
            <w:r w:rsidRPr="004F16DA">
              <w:rPr>
                <w:rFonts w:ascii="Arial" w:eastAsia="Calibri" w:hAnsi="Arial" w:cs="Arial"/>
                <w:bCs/>
                <w:sz w:val="20"/>
                <w:szCs w:val="20"/>
                <w:lang w:val="en-GB"/>
              </w:rPr>
              <w:t>(</w:t>
            </w:r>
            <w:r w:rsidRPr="004F16DA">
              <w:rPr>
                <w:rFonts w:ascii="Arial" w:eastAsia="Calibri" w:hAnsi="Arial" w:cs="Arial"/>
                <w:sz w:val="20"/>
                <w:szCs w:val="20"/>
                <w:lang w:val="en-GB"/>
              </w:rPr>
              <w:t>e.g. prostitution).</w:t>
            </w:r>
          </w:p>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313"/>
              <w:jc w:val="both"/>
              <w:rPr>
                <w:rFonts w:ascii="Arial" w:eastAsia="Calibri" w:hAnsi="Arial" w:cs="Arial"/>
                <w:color w:val="auto"/>
                <w:sz w:val="20"/>
                <w:szCs w:val="20"/>
                <w:lang w:val="en-GB" w:eastAsia="fr-FR"/>
              </w:rPr>
            </w:pPr>
            <w:r w:rsidRPr="004F16DA">
              <w:rPr>
                <w:rFonts w:ascii="Arial" w:eastAsia="Calibri" w:hAnsi="Arial" w:cs="Arial"/>
                <w:sz w:val="20"/>
                <w:szCs w:val="20"/>
                <w:lang w:val="en-GB"/>
              </w:rPr>
              <w:t>Given that increasing the amount or length of assistance UNHCR provides will have an impact on its budget, it will be vital to involve local philanthropists and the private sector (perhaps through a sponsorship system).</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Op</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1</w:t>
            </w:r>
          </w:p>
        </w:tc>
      </w:tr>
    </w:tbl>
    <w:p w:rsidR="005D024D" w:rsidRPr="004F16DA" w:rsidRDefault="005D024D" w:rsidP="005D024D">
      <w:pPr>
        <w:pStyle w:val="CorpsAAA"/>
        <w:rPr>
          <w:rFonts w:ascii="Arial" w:eastAsia="Calibri" w:hAnsi="Arial" w:cs="Arial"/>
          <w:sz w:val="22"/>
          <w:szCs w:val="22"/>
          <w:lang w:val="en-GB"/>
        </w:rPr>
      </w:pPr>
    </w:p>
    <w:p w:rsidR="005D024D" w:rsidRDefault="005D024D" w:rsidP="005D024D">
      <w:pPr>
        <w:pStyle w:val="CorpsAA"/>
        <w:rPr>
          <w:rFonts w:ascii="Arial" w:eastAsia="Calibri" w:hAnsi="Arial" w:cs="Arial"/>
          <w:b/>
          <w:bCs/>
          <w:color w:val="2F5496" w:themeColor="accent1" w:themeShade="BF"/>
          <w:sz w:val="22"/>
          <w:szCs w:val="22"/>
          <w:u w:color="1F4E79"/>
          <w:lang w:val="en-GB"/>
        </w:rPr>
      </w:pPr>
    </w:p>
    <w:p w:rsidR="005D024D" w:rsidRPr="00836D34" w:rsidRDefault="005D024D" w:rsidP="005D024D">
      <w:pPr>
        <w:pStyle w:val="CorpsAA"/>
        <w:rPr>
          <w:rFonts w:ascii="Arial" w:eastAsia="Calibri" w:hAnsi="Arial" w:cs="Arial"/>
          <w:color w:val="0070C0"/>
          <w:sz w:val="22"/>
          <w:szCs w:val="22"/>
          <w:u w:color="1F4E79"/>
          <w:lang w:val="en-GB"/>
        </w:rPr>
      </w:pPr>
      <w:r w:rsidRPr="00DC5508">
        <w:rPr>
          <w:rFonts w:ascii="Arial" w:eastAsia="Calibri" w:hAnsi="Arial" w:cs="Arial"/>
          <w:b/>
          <w:bCs/>
          <w:color w:val="0070C0"/>
          <w:sz w:val="22"/>
          <w:szCs w:val="22"/>
          <w:u w:color="1F4E79"/>
          <w:lang w:val="en-GB"/>
        </w:rPr>
        <w:t>Unaccompanied minors and minors with disabilities</w:t>
      </w:r>
    </w:p>
    <w:tbl>
      <w:tblPr>
        <w:tblStyle w:val="Tablaconcuadrcula"/>
        <w:tblW w:w="878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799"/>
        <w:gridCol w:w="992"/>
        <w:gridCol w:w="992"/>
      </w:tblGrid>
      <w:tr w:rsidR="005D024D" w:rsidRPr="004F16DA" w:rsidTr="00B77391">
        <w:tc>
          <w:tcPr>
            <w:tcW w:w="6799"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Recommendations</w:t>
            </w:r>
          </w:p>
        </w:tc>
        <w:tc>
          <w:tcPr>
            <w:tcW w:w="992"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Level</w:t>
            </w:r>
          </w:p>
        </w:tc>
        <w:tc>
          <w:tcPr>
            <w:tcW w:w="992"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Priority</w:t>
            </w:r>
          </w:p>
        </w:tc>
      </w:tr>
      <w:tr w:rsidR="005D024D" w:rsidRPr="004F16DA" w:rsidTr="00242292">
        <w:trPr>
          <w:trHeight w:val="2660"/>
        </w:trPr>
        <w:tc>
          <w:tcPr>
            <w:tcW w:w="6799" w:type="dxa"/>
          </w:tcPr>
          <w:p w:rsidR="005D024D" w:rsidRPr="004F16DA" w:rsidRDefault="005D024D" w:rsidP="005D024D">
            <w:pPr>
              <w:pStyle w:val="CorpsA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454" w:hanging="425"/>
              <w:jc w:val="both"/>
              <w:rPr>
                <w:rFonts w:ascii="Arial" w:eastAsia="Calibri" w:hAnsi="Arial" w:cs="Arial"/>
                <w:color w:val="auto"/>
                <w:sz w:val="20"/>
                <w:szCs w:val="20"/>
                <w:lang w:val="en-GB" w:eastAsia="fr-FR"/>
              </w:rPr>
            </w:pPr>
            <w:r w:rsidRPr="004F16DA">
              <w:rPr>
                <w:rFonts w:ascii="Arial" w:hAnsi="Arial" w:cs="Arial"/>
                <w:color w:val="auto"/>
                <w:sz w:val="20"/>
                <w:u w:color="4472C4"/>
                <w:bdr w:val="none" w:sz="0" w:space="0" w:color="auto"/>
                <w:lang w:val="en-GB" w:eastAsia="en-GB"/>
              </w:rPr>
              <w:t xml:space="preserve">Continue working with UNICEF and IOM (and potentially with other partners such as CNDH and OMDH) to support the establishment of a </w:t>
            </w:r>
            <w:r w:rsidRPr="004F16DA">
              <w:rPr>
                <w:rFonts w:ascii="Arial" w:hAnsi="Arial" w:cs="Arial"/>
                <w:b/>
                <w:color w:val="auto"/>
                <w:sz w:val="20"/>
                <w:u w:color="4472C4"/>
                <w:bdr w:val="none" w:sz="0" w:space="0" w:color="auto"/>
                <w:lang w:val="en-GB" w:eastAsia="en-GB"/>
              </w:rPr>
              <w:t>support framework in which unaccompanied minors are identified from among migratory flows and taken to day-care centres</w:t>
            </w:r>
            <w:r w:rsidRPr="004F16DA">
              <w:rPr>
                <w:rFonts w:ascii="Arial" w:hAnsi="Arial" w:cs="Arial"/>
                <w:color w:val="auto"/>
                <w:sz w:val="20"/>
                <w:u w:color="4472C4"/>
                <w:bdr w:val="none" w:sz="0" w:space="0" w:color="auto"/>
                <w:lang w:val="en-GB" w:eastAsia="en-GB"/>
              </w:rPr>
              <w:t xml:space="preserve"> (FOO centre in Rabat, Rabat and Casablanca PWGs, Caritas-led </w:t>
            </w:r>
            <w:proofErr w:type="spellStart"/>
            <w:r w:rsidRPr="004F16DA">
              <w:rPr>
                <w:rFonts w:ascii="Arial" w:hAnsi="Arial" w:cs="Arial"/>
                <w:color w:val="auto"/>
                <w:sz w:val="20"/>
                <w:u w:color="4472C4"/>
                <w:bdr w:val="none" w:sz="0" w:space="0" w:color="auto"/>
                <w:lang w:val="en-GB" w:eastAsia="en-GB"/>
              </w:rPr>
              <w:t>Qantara</w:t>
            </w:r>
            <w:proofErr w:type="spellEnd"/>
            <w:r w:rsidRPr="004F16DA">
              <w:rPr>
                <w:rFonts w:ascii="Arial" w:hAnsi="Arial" w:cs="Arial"/>
                <w:color w:val="auto"/>
                <w:sz w:val="20"/>
                <w:u w:color="4472C4"/>
                <w:bdr w:val="none" w:sz="0" w:space="0" w:color="auto"/>
                <w:lang w:val="en-GB" w:eastAsia="en-GB"/>
              </w:rPr>
              <w:t xml:space="preserve"> programme). Under this framework, unaccompanied minors should be </w:t>
            </w:r>
            <w:r w:rsidRPr="004F16DA">
              <w:rPr>
                <w:rFonts w:ascii="Arial" w:hAnsi="Arial" w:cs="Arial"/>
                <w:b/>
                <w:color w:val="auto"/>
                <w:sz w:val="20"/>
                <w:u w:color="4472C4"/>
                <w:bdr w:val="none" w:sz="0" w:space="0" w:color="auto"/>
                <w:lang w:val="en-GB" w:eastAsia="en-GB"/>
              </w:rPr>
              <w:t>processed through the juvenile court system</w:t>
            </w:r>
            <w:r w:rsidRPr="004F16DA">
              <w:rPr>
                <w:rFonts w:ascii="Arial" w:hAnsi="Arial" w:cs="Arial"/>
                <w:color w:val="auto"/>
                <w:sz w:val="20"/>
                <w:u w:color="4472C4"/>
                <w:bdr w:val="none" w:sz="0" w:space="0" w:color="auto"/>
                <w:lang w:val="en-GB" w:eastAsia="en-GB"/>
              </w:rPr>
              <w:t xml:space="preserve">, where they can be granted effective protection and placed in an institution. </w:t>
            </w:r>
            <w:r w:rsidRPr="004F16DA">
              <w:rPr>
                <w:rFonts w:ascii="Arial" w:eastAsia="Calibri" w:hAnsi="Arial" w:cs="Arial"/>
                <w:color w:val="auto"/>
                <w:sz w:val="20"/>
                <w:szCs w:val="20"/>
                <w:u w:color="4472C4"/>
                <w:lang w:val="en-GB"/>
              </w:rPr>
              <w:t>It may be worthwhile continuing to support national efforts to consolidate case law/jurisprudence around the “trusted adult” provision.</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Op</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2</w:t>
            </w:r>
          </w:p>
        </w:tc>
      </w:tr>
      <w:tr w:rsidR="005D024D" w:rsidRPr="004F16DA" w:rsidTr="00242292">
        <w:trPr>
          <w:trHeight w:val="1946"/>
        </w:trPr>
        <w:tc>
          <w:tcPr>
            <w:tcW w:w="6799" w:type="dxa"/>
          </w:tcPr>
          <w:p w:rsidR="005D024D" w:rsidRPr="004F16DA" w:rsidRDefault="005D024D" w:rsidP="005D024D">
            <w:pPr>
              <w:pStyle w:val="CorpsA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13" w:hanging="284"/>
              <w:jc w:val="both"/>
              <w:rPr>
                <w:rFonts w:ascii="Arial" w:eastAsia="Calibri" w:hAnsi="Arial" w:cs="Arial"/>
                <w:color w:val="auto"/>
                <w:sz w:val="20"/>
                <w:szCs w:val="20"/>
                <w:lang w:val="en-GB" w:eastAsia="fr-FR"/>
              </w:rPr>
            </w:pPr>
            <w:r w:rsidRPr="004F16DA">
              <w:rPr>
                <w:rFonts w:ascii="Arial" w:eastAsia="Calibri" w:hAnsi="Arial" w:cs="Arial"/>
                <w:sz w:val="20"/>
                <w:szCs w:val="20"/>
                <w:lang w:val="en-GB"/>
              </w:rPr>
              <w:t xml:space="preserve">Explore </w:t>
            </w:r>
            <w:r w:rsidRPr="004F16DA">
              <w:rPr>
                <w:rFonts w:ascii="Arial" w:eastAsia="Calibri" w:hAnsi="Arial" w:cs="Arial"/>
                <w:b/>
                <w:bCs/>
                <w:sz w:val="20"/>
                <w:szCs w:val="20"/>
                <w:lang w:val="en-GB"/>
              </w:rPr>
              <w:t>partners</w:t>
            </w:r>
            <w:r w:rsidRPr="004F16DA">
              <w:rPr>
                <w:rFonts w:ascii="Arial" w:eastAsia="Calibri" w:hAnsi="Arial" w:cs="Arial"/>
                <w:b/>
                <w:sz w:val="20"/>
                <w:szCs w:val="20"/>
                <w:lang w:val="en-GB"/>
              </w:rPr>
              <w:t>hips with national CSOs providing social care to vulnerable children or operating social care centres</w:t>
            </w:r>
            <w:r w:rsidRPr="004F16DA">
              <w:rPr>
                <w:rFonts w:ascii="Arial" w:eastAsia="Calibri" w:hAnsi="Arial" w:cs="Arial"/>
                <w:sz w:val="20"/>
                <w:szCs w:val="20"/>
                <w:lang w:val="en-GB"/>
              </w:rPr>
              <w:t xml:space="preserve"> (“</w:t>
            </w:r>
            <w:proofErr w:type="spellStart"/>
            <w:r w:rsidRPr="004F16DA">
              <w:rPr>
                <w:rFonts w:ascii="Arial" w:eastAsia="Calibri" w:hAnsi="Arial" w:cs="Arial"/>
                <w:sz w:val="20"/>
                <w:szCs w:val="20"/>
                <w:lang w:val="en-GB"/>
              </w:rPr>
              <w:t>Etablissements</w:t>
            </w:r>
            <w:proofErr w:type="spellEnd"/>
            <w:r w:rsidRPr="004F16DA">
              <w:rPr>
                <w:rFonts w:ascii="Arial" w:eastAsia="Calibri" w:hAnsi="Arial" w:cs="Arial"/>
                <w:sz w:val="20"/>
                <w:szCs w:val="20"/>
                <w:lang w:val="en-GB"/>
              </w:rPr>
              <w:t xml:space="preserve"> de Protection Social” – EPS) to provide emergency or short-term shelter until durable solutions are found. Although the National Mutual Aid agency has disengaged from migration and protection initiatives, some specialized national CSOs are managing the very few childcare facilities with accommodation that exist in Morocco. Direct agreements with these CSO</w:t>
            </w:r>
            <w:bookmarkStart w:id="0" w:name="_GoBack"/>
            <w:bookmarkEnd w:id="0"/>
            <w:r w:rsidRPr="004F16DA">
              <w:rPr>
                <w:rFonts w:ascii="Arial" w:eastAsia="Calibri" w:hAnsi="Arial" w:cs="Arial"/>
                <w:sz w:val="20"/>
                <w:szCs w:val="20"/>
                <w:lang w:val="en-GB"/>
              </w:rPr>
              <w:t>s could be explored.</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Op</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3</w:t>
            </w:r>
          </w:p>
        </w:tc>
      </w:tr>
    </w:tbl>
    <w:p w:rsidR="005D024D" w:rsidRPr="004F16DA" w:rsidRDefault="005D024D" w:rsidP="005D024D">
      <w:pPr>
        <w:pStyle w:val="CorpsAAA"/>
        <w:rPr>
          <w:rFonts w:ascii="Arial" w:eastAsia="Calibri" w:hAnsi="Arial" w:cs="Arial"/>
          <w:sz w:val="22"/>
          <w:szCs w:val="22"/>
          <w:lang w:val="en-GB"/>
        </w:rPr>
      </w:pPr>
    </w:p>
    <w:p w:rsidR="005D024D" w:rsidRPr="00DC5508" w:rsidRDefault="005D024D" w:rsidP="005D024D">
      <w:pPr>
        <w:pStyle w:val="CorpsAAA"/>
        <w:rPr>
          <w:rFonts w:ascii="Arial" w:eastAsia="Calibri" w:hAnsi="Arial" w:cs="Arial"/>
          <w:color w:val="0070C0"/>
          <w:sz w:val="22"/>
          <w:szCs w:val="22"/>
          <w:lang w:val="en-GB"/>
        </w:rPr>
      </w:pPr>
    </w:p>
    <w:p w:rsidR="005D024D" w:rsidRPr="00836D34" w:rsidRDefault="005D024D" w:rsidP="005D024D">
      <w:pPr>
        <w:pStyle w:val="CorpsAA"/>
        <w:rPr>
          <w:rFonts w:ascii="Arial" w:eastAsia="Calibri" w:hAnsi="Arial" w:cs="Arial"/>
          <w:color w:val="0070C0"/>
          <w:sz w:val="22"/>
          <w:szCs w:val="22"/>
          <w:u w:color="1F4E79"/>
          <w:lang w:val="en-GB"/>
        </w:rPr>
      </w:pPr>
      <w:r w:rsidRPr="00DC5508">
        <w:rPr>
          <w:rFonts w:ascii="Arial" w:eastAsia="Calibri" w:hAnsi="Arial" w:cs="Arial"/>
          <w:b/>
          <w:bCs/>
          <w:color w:val="0070C0"/>
          <w:sz w:val="22"/>
          <w:szCs w:val="22"/>
          <w:u w:color="1F4E79"/>
          <w:lang w:val="en-GB"/>
        </w:rPr>
        <w:t>LGBTIs</w:t>
      </w:r>
    </w:p>
    <w:tbl>
      <w:tblPr>
        <w:tblStyle w:val="Tablaconcuadrcula"/>
        <w:tblW w:w="878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799"/>
        <w:gridCol w:w="992"/>
        <w:gridCol w:w="992"/>
      </w:tblGrid>
      <w:tr w:rsidR="005D024D" w:rsidRPr="004F16DA" w:rsidTr="00B77391">
        <w:tc>
          <w:tcPr>
            <w:tcW w:w="6799"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Recommendation</w:t>
            </w:r>
          </w:p>
        </w:tc>
        <w:tc>
          <w:tcPr>
            <w:tcW w:w="992"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Level</w:t>
            </w:r>
          </w:p>
        </w:tc>
        <w:tc>
          <w:tcPr>
            <w:tcW w:w="992"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Priority</w:t>
            </w:r>
          </w:p>
        </w:tc>
      </w:tr>
      <w:tr w:rsidR="005D024D" w:rsidRPr="004F16DA" w:rsidTr="00B77391">
        <w:tc>
          <w:tcPr>
            <w:tcW w:w="6799" w:type="dxa"/>
          </w:tcPr>
          <w:p w:rsidR="005D024D" w:rsidRPr="004F16DA" w:rsidRDefault="005D024D" w:rsidP="005D024D">
            <w:pPr>
              <w:pStyle w:val="CorpsAA"/>
              <w:numPr>
                <w:ilvl w:val="0"/>
                <w:numId w:val="1"/>
              </w:numPr>
              <w:ind w:left="313" w:hanging="284"/>
              <w:jc w:val="both"/>
              <w:rPr>
                <w:rFonts w:ascii="Arial" w:eastAsia="Calibri" w:hAnsi="Arial" w:cs="Arial"/>
                <w:color w:val="auto"/>
                <w:sz w:val="20"/>
                <w:szCs w:val="20"/>
                <w:lang w:val="en-GB"/>
              </w:rPr>
            </w:pPr>
            <w:r w:rsidRPr="004F16DA">
              <w:rPr>
                <w:rFonts w:ascii="Arial" w:eastAsia="Calibri" w:hAnsi="Arial" w:cs="Arial"/>
                <w:color w:val="auto"/>
                <w:sz w:val="20"/>
                <w:szCs w:val="20"/>
                <w:lang w:val="en-GB"/>
              </w:rPr>
              <w:t xml:space="preserve">Foster a more </w:t>
            </w:r>
            <w:r w:rsidRPr="004F16DA">
              <w:rPr>
                <w:rFonts w:ascii="Arial" w:eastAsia="Calibri" w:hAnsi="Arial" w:cs="Arial"/>
                <w:b/>
                <w:color w:val="auto"/>
                <w:sz w:val="20"/>
                <w:szCs w:val="20"/>
                <w:lang w:val="en-GB"/>
              </w:rPr>
              <w:t>empathic and non-discriminatory approach to LGBTIs among partners</w:t>
            </w:r>
            <w:r w:rsidRPr="004F16DA">
              <w:rPr>
                <w:rFonts w:ascii="Arial" w:eastAsia="Calibri" w:hAnsi="Arial" w:cs="Arial"/>
                <w:color w:val="auto"/>
                <w:sz w:val="20"/>
                <w:szCs w:val="20"/>
                <w:lang w:val="en-GB"/>
              </w:rPr>
              <w:t xml:space="preserve"> (IPs and CSOs alike). Explore a close partnership with ALCS to set up information, reception, monitoring and referral centres in cities with a large LGBTI community or where the risk of prostitution is high.</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Op</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3</w:t>
            </w:r>
          </w:p>
        </w:tc>
      </w:tr>
      <w:tr w:rsidR="005D024D" w:rsidRPr="004F16DA" w:rsidTr="00242292">
        <w:trPr>
          <w:trHeight w:val="1720"/>
        </w:trPr>
        <w:tc>
          <w:tcPr>
            <w:tcW w:w="6799" w:type="dxa"/>
          </w:tcPr>
          <w:p w:rsidR="005D024D" w:rsidRPr="004F16DA" w:rsidRDefault="005D024D" w:rsidP="005D024D">
            <w:pPr>
              <w:pStyle w:val="CorpsAA"/>
              <w:numPr>
                <w:ilvl w:val="0"/>
                <w:numId w:val="1"/>
              </w:numPr>
              <w:ind w:left="313" w:hanging="284"/>
              <w:jc w:val="both"/>
              <w:rPr>
                <w:rFonts w:ascii="Arial" w:eastAsia="Calibri" w:hAnsi="Arial" w:cs="Arial"/>
                <w:sz w:val="20"/>
                <w:szCs w:val="20"/>
                <w:lang w:val="en-GB"/>
              </w:rPr>
            </w:pPr>
            <w:r w:rsidRPr="004F16DA">
              <w:rPr>
                <w:rFonts w:ascii="Arial" w:eastAsia="Calibri" w:hAnsi="Arial" w:cs="Arial"/>
                <w:b/>
                <w:sz w:val="20"/>
                <w:szCs w:val="20"/>
                <w:lang w:val="en-GB"/>
              </w:rPr>
              <w:lastRenderedPageBreak/>
              <w:t>Review the cash assistance approach for LGBTIs</w:t>
            </w:r>
            <w:r w:rsidRPr="004F16DA">
              <w:rPr>
                <w:rFonts w:ascii="Arial" w:eastAsia="Calibri" w:hAnsi="Arial" w:cs="Arial"/>
                <w:sz w:val="20"/>
                <w:szCs w:val="20"/>
                <w:lang w:val="en-GB"/>
              </w:rPr>
              <w:t xml:space="preserve">. Insofar as LGBTIs have no prospects of local integration in Morocco and are essentially just “transiting” while waiting for resettlement, their needs should be fully covered through cash assistance. The level of coverage pushes LGBTIs towards negative coping strategies such as survival sex and does not allow them to live in dignity. The “do no harm” principle should be a key consideration for cash assistance for LGBTIs. </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Op</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3</w:t>
            </w:r>
          </w:p>
        </w:tc>
      </w:tr>
    </w:tbl>
    <w:p w:rsidR="005D024D" w:rsidRPr="00836D34" w:rsidRDefault="005D024D" w:rsidP="005D024D">
      <w:pPr>
        <w:spacing w:after="0" w:line="240" w:lineRule="auto"/>
        <w:jc w:val="both"/>
        <w:rPr>
          <w:rStyle w:val="AucunA"/>
          <w:rFonts w:ascii="Arial" w:hAnsi="Arial" w:cs="Arial"/>
          <w:lang w:val="en-GB"/>
        </w:rPr>
      </w:pPr>
    </w:p>
    <w:p w:rsidR="005D024D" w:rsidRDefault="005D024D" w:rsidP="005D024D">
      <w:pPr>
        <w:pStyle w:val="CorpsAA"/>
        <w:rPr>
          <w:rFonts w:ascii="Arial" w:eastAsia="Calibri" w:hAnsi="Arial" w:cs="Arial"/>
          <w:b/>
          <w:bCs/>
          <w:color w:val="2F5496" w:themeColor="accent1" w:themeShade="BF"/>
          <w:sz w:val="22"/>
          <w:szCs w:val="22"/>
          <w:u w:color="1F4E79"/>
          <w:lang w:val="en-GB"/>
        </w:rPr>
      </w:pPr>
    </w:p>
    <w:p w:rsidR="005D024D" w:rsidRPr="00836D34" w:rsidRDefault="005D024D" w:rsidP="005D024D">
      <w:pPr>
        <w:pStyle w:val="CorpsAA"/>
        <w:rPr>
          <w:rStyle w:val="AucunA"/>
          <w:rFonts w:ascii="Arial" w:eastAsia="Calibri" w:hAnsi="Arial" w:cs="Arial"/>
          <w:color w:val="0070C0"/>
          <w:sz w:val="22"/>
          <w:szCs w:val="22"/>
          <w:u w:color="1F4E79"/>
          <w:lang w:val="en-GB"/>
        </w:rPr>
      </w:pPr>
      <w:r w:rsidRPr="00DC5508">
        <w:rPr>
          <w:rFonts w:ascii="Arial" w:eastAsia="Calibri" w:hAnsi="Arial" w:cs="Arial"/>
          <w:b/>
          <w:bCs/>
          <w:color w:val="0070C0"/>
          <w:sz w:val="22"/>
          <w:szCs w:val="22"/>
          <w:u w:color="1F4E79"/>
          <w:lang w:val="en-GB"/>
        </w:rPr>
        <w:t>SGBV and Protection Houses</w:t>
      </w:r>
    </w:p>
    <w:tbl>
      <w:tblPr>
        <w:tblStyle w:val="Tablaconcuadrcula"/>
        <w:tblW w:w="878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799"/>
        <w:gridCol w:w="992"/>
        <w:gridCol w:w="992"/>
      </w:tblGrid>
      <w:tr w:rsidR="005D024D" w:rsidRPr="004F16DA" w:rsidTr="00B77391">
        <w:tc>
          <w:tcPr>
            <w:tcW w:w="6799"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Recommendations</w:t>
            </w:r>
          </w:p>
        </w:tc>
        <w:tc>
          <w:tcPr>
            <w:tcW w:w="992"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Level</w:t>
            </w:r>
          </w:p>
        </w:tc>
        <w:tc>
          <w:tcPr>
            <w:tcW w:w="992" w:type="dxa"/>
            <w:shd w:val="clear" w:color="auto" w:fill="0070C0"/>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Calibri" w:hAnsi="Arial" w:cs="Arial"/>
                <w:color w:val="FFFFFF" w:themeColor="background1"/>
                <w:sz w:val="20"/>
                <w:szCs w:val="20"/>
                <w:lang w:val="en-GB"/>
              </w:rPr>
            </w:pPr>
            <w:r w:rsidRPr="004F16DA">
              <w:rPr>
                <w:rFonts w:ascii="Arial" w:eastAsia="Calibri" w:hAnsi="Arial" w:cs="Arial"/>
                <w:color w:val="FFFFFF" w:themeColor="background1"/>
                <w:sz w:val="20"/>
                <w:szCs w:val="20"/>
                <w:lang w:val="en-GB"/>
              </w:rPr>
              <w:t>Priority</w:t>
            </w:r>
          </w:p>
        </w:tc>
      </w:tr>
      <w:tr w:rsidR="005D024D" w:rsidRPr="004F16DA" w:rsidTr="00242292">
        <w:trPr>
          <w:trHeight w:val="1687"/>
        </w:trPr>
        <w:tc>
          <w:tcPr>
            <w:tcW w:w="6799" w:type="dxa"/>
          </w:tcPr>
          <w:p w:rsidR="005D024D" w:rsidRPr="000A4573" w:rsidRDefault="005D024D" w:rsidP="005D024D">
            <w:pPr>
              <w:pStyle w:val="CorpsA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13" w:hanging="284"/>
              <w:jc w:val="both"/>
              <w:rPr>
                <w:rFonts w:ascii="Arial" w:eastAsia="Calibri" w:hAnsi="Arial" w:cs="Arial"/>
                <w:sz w:val="20"/>
                <w:szCs w:val="20"/>
                <w:lang w:val="en-GB"/>
              </w:rPr>
            </w:pPr>
            <w:r w:rsidRPr="000A4573">
              <w:rPr>
                <w:rFonts w:ascii="Arial" w:eastAsia="Calibri" w:hAnsi="Arial" w:cs="Arial"/>
                <w:sz w:val="20"/>
                <w:szCs w:val="20"/>
                <w:lang w:val="en-GB"/>
              </w:rPr>
              <w:t xml:space="preserve">Design a specific and </w:t>
            </w:r>
            <w:r w:rsidRPr="000A4573">
              <w:rPr>
                <w:rFonts w:ascii="Arial" w:eastAsia="Calibri" w:hAnsi="Arial" w:cs="Arial"/>
                <w:b/>
                <w:sz w:val="20"/>
                <w:szCs w:val="20"/>
                <w:lang w:val="en-GB"/>
              </w:rPr>
              <w:t>culturally appropriate strategy to address SGBV prevention and assistance among Arabic-speaking groups, particularly Syrian Dom communities</w:t>
            </w:r>
            <w:r w:rsidRPr="000A4573">
              <w:rPr>
                <w:rFonts w:ascii="Arial" w:eastAsia="Calibri" w:hAnsi="Arial" w:cs="Arial"/>
                <w:sz w:val="20"/>
                <w:szCs w:val="20"/>
                <w:lang w:val="en-GB"/>
              </w:rPr>
              <w:t xml:space="preserve">. Explore the possibility of conducting an in-depth anthropological study of Arabic-speaking communities in Morocco, their habits and their protection strategies during forced migration. Such a study could provide insights that might inform a better operational response.  </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Op</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1</w:t>
            </w:r>
          </w:p>
        </w:tc>
      </w:tr>
      <w:tr w:rsidR="005D024D" w:rsidRPr="004F16DA" w:rsidTr="00242292">
        <w:trPr>
          <w:trHeight w:val="2177"/>
        </w:trPr>
        <w:tc>
          <w:tcPr>
            <w:tcW w:w="6799" w:type="dxa"/>
          </w:tcPr>
          <w:p w:rsidR="005D024D" w:rsidRPr="000A4573" w:rsidRDefault="005D024D" w:rsidP="005D024D">
            <w:pPr>
              <w:pStyle w:val="CorpsA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13" w:hanging="284"/>
              <w:jc w:val="both"/>
              <w:rPr>
                <w:rFonts w:ascii="Arial" w:eastAsia="Calibri" w:hAnsi="Arial" w:cs="Arial"/>
                <w:sz w:val="20"/>
                <w:szCs w:val="20"/>
                <w:lang w:val="en-GB"/>
              </w:rPr>
            </w:pPr>
            <w:r w:rsidRPr="000A4573">
              <w:rPr>
                <w:rFonts w:ascii="Arial" w:eastAsia="Calibri" w:hAnsi="Arial" w:cs="Arial"/>
                <w:sz w:val="20"/>
                <w:szCs w:val="20"/>
                <w:lang w:val="en-GB"/>
              </w:rPr>
              <w:t xml:space="preserve">Given limited resources, refine existing vulnerability criteria to justify </w:t>
            </w:r>
            <w:r w:rsidRPr="000A4573">
              <w:rPr>
                <w:rFonts w:ascii="Arial" w:eastAsia="Calibri" w:hAnsi="Arial" w:cs="Arial"/>
                <w:b/>
                <w:sz w:val="20"/>
                <w:szCs w:val="20"/>
                <w:lang w:val="en-GB"/>
              </w:rPr>
              <w:t>setting up an “extra protection programme/package” for critical cases</w:t>
            </w:r>
            <w:r w:rsidRPr="000A4573">
              <w:rPr>
                <w:rFonts w:ascii="Arial" w:eastAsia="Calibri" w:hAnsi="Arial" w:cs="Arial"/>
                <w:sz w:val="20"/>
                <w:szCs w:val="20"/>
                <w:lang w:val="en-GB"/>
              </w:rPr>
              <w:t xml:space="preserve"> and explore pledges for external financing, perhaps outside the usual institutional donors.</w:t>
            </w:r>
          </w:p>
          <w:p w:rsidR="005D024D" w:rsidRPr="000A4573"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313"/>
              <w:jc w:val="both"/>
              <w:rPr>
                <w:rFonts w:ascii="Arial" w:eastAsia="Calibri" w:hAnsi="Arial" w:cs="Arial"/>
                <w:sz w:val="20"/>
                <w:szCs w:val="20"/>
                <w:lang w:val="en-GB"/>
              </w:rPr>
            </w:pPr>
            <w:r w:rsidRPr="000A4573">
              <w:rPr>
                <w:rFonts w:ascii="Arial" w:eastAsia="Calibri" w:hAnsi="Arial" w:cs="Arial"/>
                <w:sz w:val="20"/>
                <w:szCs w:val="20"/>
                <w:lang w:val="en-GB"/>
              </w:rPr>
              <w:t>For example, the municipality of Barcelona has a special cooperation initiative targeting SGBV and LGBTI protection in Africa, for which local partners are often lacking. Generally, this could take the form of “city-to-city” support, where a European city (potentially from the Solidarity Cities network) could support Rabat or Casablanca directly.</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Op</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2</w:t>
            </w:r>
          </w:p>
        </w:tc>
      </w:tr>
      <w:tr w:rsidR="005D024D" w:rsidRPr="004F16DA" w:rsidTr="00242292">
        <w:trPr>
          <w:trHeight w:val="1272"/>
        </w:trPr>
        <w:tc>
          <w:tcPr>
            <w:tcW w:w="6799" w:type="dxa"/>
          </w:tcPr>
          <w:p w:rsidR="005D024D" w:rsidRPr="000A4573" w:rsidRDefault="005D024D" w:rsidP="005D024D">
            <w:pPr>
              <w:pStyle w:val="CorpsA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13" w:hanging="284"/>
              <w:jc w:val="both"/>
              <w:rPr>
                <w:rFonts w:ascii="Arial" w:eastAsia="Calibri" w:hAnsi="Arial" w:cs="Arial"/>
                <w:sz w:val="20"/>
                <w:szCs w:val="20"/>
                <w:lang w:val="en-GB"/>
              </w:rPr>
            </w:pPr>
            <w:r w:rsidRPr="000A4573">
              <w:rPr>
                <w:rFonts w:ascii="Arial" w:eastAsia="Calibri" w:hAnsi="Arial" w:cs="Arial"/>
                <w:sz w:val="20"/>
                <w:szCs w:val="20"/>
                <w:lang w:val="en-GB"/>
              </w:rPr>
              <w:t xml:space="preserve">Consider further </w:t>
            </w:r>
            <w:r w:rsidRPr="000A4573">
              <w:rPr>
                <w:rFonts w:ascii="Arial" w:eastAsia="Calibri" w:hAnsi="Arial" w:cs="Arial"/>
                <w:b/>
                <w:sz w:val="20"/>
                <w:szCs w:val="20"/>
                <w:lang w:val="en-GB"/>
              </w:rPr>
              <w:t>increasing the number of apartments available or explore additional partnerships with specialized national CSOs</w:t>
            </w:r>
            <w:r w:rsidRPr="000A4573">
              <w:rPr>
                <w:rFonts w:ascii="Arial" w:eastAsia="Calibri" w:hAnsi="Arial" w:cs="Arial"/>
                <w:sz w:val="20"/>
                <w:szCs w:val="20"/>
                <w:lang w:val="en-GB"/>
              </w:rPr>
              <w:t xml:space="preserve"> managing social care centres for vulnerable profiles (e.g. SGBV, street children). In this case, UNHCR should envisage providing technical guidance to CSOs to introduce gender- and culture-sensitive measures.</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Op</w:t>
            </w:r>
          </w:p>
        </w:tc>
        <w:tc>
          <w:tcPr>
            <w:tcW w:w="992" w:type="dxa"/>
          </w:tcPr>
          <w:p w:rsidR="005D024D" w:rsidRPr="004F16DA" w:rsidRDefault="005D024D" w:rsidP="00B77391">
            <w:pPr>
              <w:pStyle w:val="CorpsAA"/>
              <w:pBdr>
                <w:top w:val="none" w:sz="0" w:space="0" w:color="auto"/>
                <w:left w:val="none" w:sz="0" w:space="0" w:color="auto"/>
                <w:bottom w:val="none" w:sz="0" w:space="0" w:color="auto"/>
                <w:right w:val="none" w:sz="0" w:space="0" w:color="auto"/>
                <w:between w:val="none" w:sz="0" w:space="0" w:color="auto"/>
                <w:bar w:val="none" w:sz="0" w:color="auto"/>
              </w:pBdr>
              <w:ind w:left="29"/>
              <w:jc w:val="center"/>
              <w:rPr>
                <w:rFonts w:ascii="Arial" w:eastAsia="Calibri" w:hAnsi="Arial" w:cs="Arial"/>
                <w:sz w:val="20"/>
                <w:szCs w:val="20"/>
                <w:lang w:val="en-GB"/>
              </w:rPr>
            </w:pPr>
            <w:r w:rsidRPr="004F16DA">
              <w:rPr>
                <w:rFonts w:ascii="Arial" w:eastAsia="Calibri" w:hAnsi="Arial" w:cs="Arial"/>
                <w:sz w:val="20"/>
                <w:szCs w:val="20"/>
                <w:lang w:val="en-GB"/>
              </w:rPr>
              <w:t>1</w:t>
            </w:r>
          </w:p>
        </w:tc>
      </w:tr>
    </w:tbl>
    <w:p w:rsidR="005D024D" w:rsidRDefault="005D024D"/>
    <w:p w:rsidR="00242292" w:rsidRDefault="00242292"/>
    <w:p w:rsidR="00242292" w:rsidRDefault="00242292"/>
    <w:p w:rsidR="00242292" w:rsidRDefault="00242292"/>
    <w:p w:rsidR="00242292" w:rsidRDefault="00242292"/>
    <w:sectPr w:rsidR="00242292" w:rsidSect="00A17854">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041D0"/>
    <w:multiLevelType w:val="hybridMultilevel"/>
    <w:tmpl w:val="EDE6221A"/>
    <w:lvl w:ilvl="0" w:tplc="0C0A0001">
      <w:start w:val="1"/>
      <w:numFmt w:val="bullet"/>
      <w:lvlText w:val=""/>
      <w:lvlJc w:val="left"/>
      <w:pPr>
        <w:ind w:left="749" w:hanging="360"/>
      </w:pPr>
      <w:rPr>
        <w:rFonts w:ascii="Symbol" w:hAnsi="Symbol" w:hint="default"/>
      </w:rPr>
    </w:lvl>
    <w:lvl w:ilvl="1" w:tplc="040C0003" w:tentative="1">
      <w:start w:val="1"/>
      <w:numFmt w:val="bullet"/>
      <w:lvlText w:val="o"/>
      <w:lvlJc w:val="left"/>
      <w:pPr>
        <w:ind w:left="1469" w:hanging="360"/>
      </w:pPr>
      <w:rPr>
        <w:rFonts w:ascii="Courier New" w:hAnsi="Courier New" w:cs="Courier New" w:hint="default"/>
      </w:rPr>
    </w:lvl>
    <w:lvl w:ilvl="2" w:tplc="040C0005" w:tentative="1">
      <w:start w:val="1"/>
      <w:numFmt w:val="bullet"/>
      <w:lvlText w:val=""/>
      <w:lvlJc w:val="left"/>
      <w:pPr>
        <w:ind w:left="2189" w:hanging="360"/>
      </w:pPr>
      <w:rPr>
        <w:rFonts w:ascii="Wingdings" w:hAnsi="Wingdings" w:hint="default"/>
      </w:rPr>
    </w:lvl>
    <w:lvl w:ilvl="3" w:tplc="040C0001" w:tentative="1">
      <w:start w:val="1"/>
      <w:numFmt w:val="bullet"/>
      <w:lvlText w:val=""/>
      <w:lvlJc w:val="left"/>
      <w:pPr>
        <w:ind w:left="2909" w:hanging="360"/>
      </w:pPr>
      <w:rPr>
        <w:rFonts w:ascii="Symbol" w:hAnsi="Symbol" w:hint="default"/>
      </w:rPr>
    </w:lvl>
    <w:lvl w:ilvl="4" w:tplc="040C0003" w:tentative="1">
      <w:start w:val="1"/>
      <w:numFmt w:val="bullet"/>
      <w:lvlText w:val="o"/>
      <w:lvlJc w:val="left"/>
      <w:pPr>
        <w:ind w:left="3629" w:hanging="360"/>
      </w:pPr>
      <w:rPr>
        <w:rFonts w:ascii="Courier New" w:hAnsi="Courier New" w:cs="Courier New" w:hint="default"/>
      </w:rPr>
    </w:lvl>
    <w:lvl w:ilvl="5" w:tplc="040C0005" w:tentative="1">
      <w:start w:val="1"/>
      <w:numFmt w:val="bullet"/>
      <w:lvlText w:val=""/>
      <w:lvlJc w:val="left"/>
      <w:pPr>
        <w:ind w:left="4349" w:hanging="360"/>
      </w:pPr>
      <w:rPr>
        <w:rFonts w:ascii="Wingdings" w:hAnsi="Wingdings" w:hint="default"/>
      </w:rPr>
    </w:lvl>
    <w:lvl w:ilvl="6" w:tplc="040C0001" w:tentative="1">
      <w:start w:val="1"/>
      <w:numFmt w:val="bullet"/>
      <w:lvlText w:val=""/>
      <w:lvlJc w:val="left"/>
      <w:pPr>
        <w:ind w:left="5069" w:hanging="360"/>
      </w:pPr>
      <w:rPr>
        <w:rFonts w:ascii="Symbol" w:hAnsi="Symbol" w:hint="default"/>
      </w:rPr>
    </w:lvl>
    <w:lvl w:ilvl="7" w:tplc="040C0003" w:tentative="1">
      <w:start w:val="1"/>
      <w:numFmt w:val="bullet"/>
      <w:lvlText w:val="o"/>
      <w:lvlJc w:val="left"/>
      <w:pPr>
        <w:ind w:left="5789" w:hanging="360"/>
      </w:pPr>
      <w:rPr>
        <w:rFonts w:ascii="Courier New" w:hAnsi="Courier New" w:cs="Courier New" w:hint="default"/>
      </w:rPr>
    </w:lvl>
    <w:lvl w:ilvl="8" w:tplc="040C0005" w:tentative="1">
      <w:start w:val="1"/>
      <w:numFmt w:val="bullet"/>
      <w:lvlText w:val=""/>
      <w:lvlJc w:val="left"/>
      <w:pPr>
        <w:ind w:left="650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24D"/>
    <w:rsid w:val="00176484"/>
    <w:rsid w:val="001C5BD5"/>
    <w:rsid w:val="001E4FF3"/>
    <w:rsid w:val="00242292"/>
    <w:rsid w:val="00255D52"/>
    <w:rsid w:val="00296CF0"/>
    <w:rsid w:val="0037229F"/>
    <w:rsid w:val="004A7712"/>
    <w:rsid w:val="005942F0"/>
    <w:rsid w:val="005D024D"/>
    <w:rsid w:val="00604433"/>
    <w:rsid w:val="006C18D8"/>
    <w:rsid w:val="006D764D"/>
    <w:rsid w:val="00761664"/>
    <w:rsid w:val="00832802"/>
    <w:rsid w:val="00881081"/>
    <w:rsid w:val="00920576"/>
    <w:rsid w:val="00A17854"/>
    <w:rsid w:val="00BE39EF"/>
    <w:rsid w:val="00EB7F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0495566D"/>
  <w15:chartTrackingRefBased/>
  <w15:docId w15:val="{FF924EA3-1EB1-BE42-936F-BB6DC802E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Calibri Light"/>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24D"/>
    <w:pPr>
      <w:spacing w:after="160" w:line="259" w:lineRule="auto"/>
    </w:pPr>
    <w:rPr>
      <w:rFonts w:cstheme="minorBidi"/>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D024D"/>
    <w:pPr>
      <w:pBdr>
        <w:top w:val="nil"/>
        <w:left w:val="nil"/>
        <w:bottom w:val="nil"/>
        <w:right w:val="nil"/>
        <w:between w:val="nil"/>
        <w:bar w:val="nil"/>
      </w:pBdr>
    </w:pPr>
    <w:rPr>
      <w:rFonts w:ascii="Times New Roman" w:eastAsia="Arial Unicode MS" w:hAnsi="Times New Roman" w:cs="Times New Roman"/>
      <w:sz w:val="20"/>
      <w:szCs w:val="20"/>
      <w:bdr w:val="nil"/>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5D024D"/>
    <w:rPr>
      <w:lang w:val="en-US"/>
    </w:rPr>
  </w:style>
  <w:style w:type="paragraph" w:customStyle="1" w:styleId="CorpsAA">
    <w:name w:val="Corps A A"/>
    <w:link w:val="CorpsAACar"/>
    <w:rsid w:val="005D024D"/>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character" w:customStyle="1" w:styleId="CorpsAACar">
    <w:name w:val="Corps A A Car"/>
    <w:basedOn w:val="Fuentedeprrafopredeter"/>
    <w:link w:val="CorpsAA"/>
    <w:rsid w:val="005D024D"/>
    <w:rPr>
      <w:rFonts w:ascii="Times New Roman" w:eastAsia="Arial Unicode MS" w:hAnsi="Times New Roman" w:cs="Arial Unicode MS"/>
      <w:color w:val="000000"/>
      <w:sz w:val="24"/>
      <w:szCs w:val="24"/>
      <w:u w:color="000000"/>
      <w:bdr w:val="nil"/>
      <w:lang w:val="en-US"/>
    </w:rPr>
  </w:style>
  <w:style w:type="paragraph" w:customStyle="1" w:styleId="CorpsAAA">
    <w:name w:val="Corps A A A"/>
    <w:rsid w:val="005D024D"/>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685</Words>
  <Characters>3771</Characters>
  <Application>Microsoft Office Word</Application>
  <DocSecurity>0</DocSecurity>
  <Lines>31</Lines>
  <Paragraphs>8</Paragraphs>
  <ScaleCrop>false</ScaleCrop>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 Grau</dc:creator>
  <cp:keywords/>
  <dc:description/>
  <cp:lastModifiedBy>Enric Grau</cp:lastModifiedBy>
  <cp:revision>2</cp:revision>
  <dcterms:created xsi:type="dcterms:W3CDTF">2019-10-29T18:46:00Z</dcterms:created>
  <dcterms:modified xsi:type="dcterms:W3CDTF">2019-11-01T17:58:00Z</dcterms:modified>
</cp:coreProperties>
</file>